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0A21D2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поселении Саранпауль  на 2014-2016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2407D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>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2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1D506A" w:rsidRDefault="0032407D" w:rsidP="003240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2407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2407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32407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2C0B86" w:rsidRDefault="0032407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35,1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32407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2C0B86" w:rsidRDefault="0032407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35,1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07D" w:rsidRPr="0032407D" w:rsidRDefault="0032407D" w:rsidP="00B5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2407D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32407D">
        <w:rPr>
          <w:rFonts w:ascii="Times New Roman" w:hAnsi="Times New Roman"/>
          <w:sz w:val="28"/>
        </w:rPr>
        <w:t>не вносились изменения.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32407D">
        <w:rPr>
          <w:rFonts w:ascii="Times New Roman" w:hAnsi="Times New Roman"/>
          <w:sz w:val="28"/>
        </w:rPr>
        <w:t>35,1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lastRenderedPageBreak/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ммы в 2014 году, составило 100</w:t>
      </w:r>
      <w:r w:rsidR="000C05C6">
        <w:rPr>
          <w:rFonts w:ascii="Times New Roman" w:hAnsi="Times New Roman"/>
          <w:sz w:val="28"/>
        </w:rPr>
        <w:t>%</w:t>
      </w:r>
    </w:p>
    <w:p w:rsidR="0022706A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>по финансированию  передачи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</w:r>
      <w:r w:rsidR="000B061F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FB0280" w:rsidRPr="00FB0280" w:rsidRDefault="00200742" w:rsidP="00F32D9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742">
        <w:rPr>
          <w:rFonts w:ascii="Times New Roman" w:hAnsi="Times New Roman"/>
          <w:sz w:val="28"/>
          <w:szCs w:val="28"/>
        </w:rPr>
        <w:t xml:space="preserve">Количество застрахованного муниципального имущества сельского поселения Саранпауль, </w:t>
      </w:r>
      <w:r w:rsidR="00F32D97">
        <w:rPr>
          <w:rFonts w:ascii="Times New Roman" w:hAnsi="Times New Roman"/>
          <w:sz w:val="28"/>
          <w:szCs w:val="28"/>
        </w:rPr>
        <w:t xml:space="preserve">108 </w:t>
      </w:r>
      <w:r w:rsidRPr="00200742">
        <w:rPr>
          <w:rFonts w:ascii="Times New Roman" w:hAnsi="Times New Roman"/>
          <w:sz w:val="28"/>
          <w:szCs w:val="28"/>
        </w:rPr>
        <w:t>ед</w:t>
      </w:r>
      <w:r w:rsidR="00F32D97">
        <w:rPr>
          <w:rFonts w:ascii="Times New Roman" w:hAnsi="Times New Roman"/>
          <w:sz w:val="28"/>
          <w:szCs w:val="28"/>
        </w:rPr>
        <w:t>.</w:t>
      </w:r>
      <w:r w:rsidR="00FB0280"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200742" w:rsidRDefault="00200742" w:rsidP="00F32D97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742">
        <w:rPr>
          <w:rFonts w:ascii="Times New Roman" w:hAnsi="Times New Roman"/>
          <w:sz w:val="28"/>
          <w:szCs w:val="28"/>
        </w:rPr>
        <w:t xml:space="preserve">Снижение рисков случайной гибели или уничтожения муниципального имущества, </w:t>
      </w:r>
      <w:r w:rsidR="00F32D97">
        <w:rPr>
          <w:rFonts w:ascii="Times New Roman" w:hAnsi="Times New Roman"/>
          <w:sz w:val="28"/>
          <w:szCs w:val="28"/>
        </w:rPr>
        <w:t xml:space="preserve">100 </w:t>
      </w:r>
      <w:r w:rsidRPr="00200742">
        <w:rPr>
          <w:rFonts w:ascii="Times New Roman" w:hAnsi="Times New Roman"/>
          <w:sz w:val="28"/>
          <w:szCs w:val="28"/>
        </w:rPr>
        <w:t>%.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7 баллов, программа отнесена </w:t>
      </w:r>
      <w:proofErr w:type="gramStart"/>
      <w:r w:rsidR="00721724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="007217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21724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721724" w:rsidRPr="00721724">
        <w:rPr>
          <w:rFonts w:ascii="Times New Roman" w:hAnsi="Times New Roman"/>
          <w:sz w:val="28"/>
          <w:szCs w:val="28"/>
        </w:rPr>
        <w:t>сохранение или увеличение финансирования муниципальной  программы</w:t>
      </w:r>
      <w:r w:rsidR="00721724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поселении Саранпауль  на 2014-2016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F32D9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F32D97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A21D2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00742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2407D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32D97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115</cp:revision>
  <cp:lastPrinted>2015-03-19T08:52:00Z</cp:lastPrinted>
  <dcterms:created xsi:type="dcterms:W3CDTF">2015-03-05T03:54:00Z</dcterms:created>
  <dcterms:modified xsi:type="dcterms:W3CDTF">2015-05-19T04:57:00Z</dcterms:modified>
</cp:coreProperties>
</file>